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Century Gothic" w:cs="Century Gothic" w:eastAsia="Century Gothic" w:hAnsi="Century Gothic"/>
          <w:i w:val="1"/>
          <w:sz w:val="32"/>
          <w:szCs w:val="32"/>
        </w:rPr>
      </w:pPr>
      <w:r w:rsidDel="00000000" w:rsidR="00000000" w:rsidRPr="00000000">
        <w:rPr>
          <w:rFonts w:ascii="Century Gothic" w:cs="Century Gothic" w:eastAsia="Century Gothic" w:hAnsi="Century Gothic"/>
          <w:i w:val="1"/>
          <w:sz w:val="32"/>
          <w:szCs w:val="32"/>
          <w:rtl w:val="0"/>
        </w:rPr>
        <w:t xml:space="preserve">Snack Mix Recipe Planning Sheet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Category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Chosen Ingredient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Sourcing From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Cost Per Ounce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Number of Ounces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Grain/Cereal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Nuts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sz w:val="28"/>
                <w:szCs w:val="28"/>
                <w:rtl w:val="0"/>
              </w:rPr>
              <w:t xml:space="preserve">Candy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 Gothic" w:cs="Century Gothic" w:eastAsia="Century Gothic" w:hAnsi="Century Gothic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